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D3F" w:rsidRPr="007F2CE3" w:rsidRDefault="00BB5D3F" w:rsidP="00BB5D3F">
      <w:pPr>
        <w:spacing w:line="240" w:lineRule="auto"/>
        <w:jc w:val="center"/>
        <w:rPr>
          <w:rFonts w:eastAsia="Times New Roman"/>
          <w:szCs w:val="24"/>
          <w:lang w:eastAsia="es-CO"/>
        </w:rPr>
      </w:pPr>
      <w:r w:rsidRPr="007F2CE3">
        <w:rPr>
          <w:rFonts w:eastAsia="Times New Roman"/>
          <w:b/>
          <w:bCs/>
          <w:szCs w:val="24"/>
          <w:lang w:eastAsia="es-CO"/>
        </w:rPr>
        <w:t>OFICIO Nº 001787</w:t>
      </w:r>
    </w:p>
    <w:p w:rsidR="00BB5D3F" w:rsidRPr="007F2CE3" w:rsidRDefault="00BB5D3F" w:rsidP="00BB5D3F">
      <w:pPr>
        <w:spacing w:line="240" w:lineRule="auto"/>
        <w:jc w:val="center"/>
        <w:rPr>
          <w:rFonts w:eastAsia="Times New Roman"/>
          <w:szCs w:val="24"/>
          <w:lang w:eastAsia="es-CO"/>
        </w:rPr>
      </w:pPr>
      <w:r w:rsidRPr="007F2CE3">
        <w:rPr>
          <w:rFonts w:eastAsia="Times New Roman"/>
          <w:b/>
          <w:bCs/>
          <w:szCs w:val="24"/>
          <w:lang w:eastAsia="es-CO"/>
        </w:rPr>
        <w:t>26-01-2015</w:t>
      </w:r>
    </w:p>
    <w:p w:rsidR="00BB5D3F" w:rsidRPr="007F2CE3" w:rsidRDefault="00BB5D3F" w:rsidP="00BB5D3F">
      <w:pPr>
        <w:spacing w:line="240" w:lineRule="auto"/>
        <w:jc w:val="center"/>
        <w:rPr>
          <w:rFonts w:eastAsia="Times New Roman"/>
          <w:szCs w:val="24"/>
          <w:lang w:eastAsia="es-CO"/>
        </w:rPr>
      </w:pPr>
      <w:r w:rsidRPr="007F2CE3">
        <w:rPr>
          <w:rFonts w:eastAsia="Times New Roman"/>
          <w:b/>
          <w:bCs/>
          <w:szCs w:val="24"/>
          <w:lang w:eastAsia="es-CO"/>
        </w:rPr>
        <w:t>DIAN</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Dirección de Gestión Jurídica</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Bogotá, D.C.</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100202208- 0055</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Doctor</w:t>
      </w:r>
    </w:p>
    <w:p w:rsidR="00BB5D3F" w:rsidRPr="007F2CE3" w:rsidRDefault="00BB5D3F" w:rsidP="00BB5D3F">
      <w:pPr>
        <w:spacing w:line="240" w:lineRule="auto"/>
        <w:rPr>
          <w:rFonts w:eastAsia="Times New Roman"/>
          <w:szCs w:val="24"/>
          <w:lang w:eastAsia="es-CO"/>
        </w:rPr>
      </w:pPr>
      <w:r w:rsidRPr="007F2CE3">
        <w:rPr>
          <w:rFonts w:eastAsia="Times New Roman"/>
          <w:b/>
          <w:bCs/>
          <w:szCs w:val="24"/>
          <w:lang w:eastAsia="es-CO"/>
        </w:rPr>
        <w:t>CARLOS GIOVANNI RODRÍGUEZ VÁSQUEZ</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xml:space="preserve">Carrera 16 No. 93 – 92, Edificio </w:t>
      </w:r>
      <w:proofErr w:type="spellStart"/>
      <w:r w:rsidRPr="007F2CE3">
        <w:rPr>
          <w:rFonts w:eastAsia="Times New Roman"/>
          <w:szCs w:val="24"/>
          <w:lang w:eastAsia="es-CO"/>
        </w:rPr>
        <w:t>Crowe</w:t>
      </w:r>
      <w:proofErr w:type="spellEnd"/>
      <w:r w:rsidRPr="007F2CE3">
        <w:rPr>
          <w:rFonts w:eastAsia="Times New Roman"/>
          <w:szCs w:val="24"/>
          <w:lang w:eastAsia="es-CO"/>
        </w:rPr>
        <w:t xml:space="preserve"> </w:t>
      </w:r>
      <w:proofErr w:type="spellStart"/>
      <w:r w:rsidRPr="007F2CE3">
        <w:rPr>
          <w:rFonts w:eastAsia="Times New Roman"/>
          <w:szCs w:val="24"/>
          <w:lang w:eastAsia="es-CO"/>
        </w:rPr>
        <w:t>Horwath</w:t>
      </w:r>
      <w:proofErr w:type="spellEnd"/>
      <w:r w:rsidRPr="007F2CE3">
        <w:rPr>
          <w:rFonts w:eastAsia="Times New Roman"/>
          <w:szCs w:val="24"/>
          <w:lang w:eastAsia="es-CO"/>
        </w:rPr>
        <w:t>, Piso 5º.</w:t>
      </w:r>
    </w:p>
    <w:p w:rsidR="00BB5D3F" w:rsidRPr="007F2CE3" w:rsidRDefault="007F2CE3" w:rsidP="00BB5D3F">
      <w:pPr>
        <w:spacing w:line="240" w:lineRule="auto"/>
        <w:rPr>
          <w:rFonts w:eastAsia="Times New Roman"/>
          <w:szCs w:val="24"/>
          <w:lang w:eastAsia="es-CO"/>
        </w:rPr>
      </w:pPr>
      <w:hyperlink r:id="rId4" w:history="1">
        <w:r w:rsidR="00BB5D3F" w:rsidRPr="007F2CE3">
          <w:rPr>
            <w:rFonts w:eastAsia="Times New Roman"/>
            <w:szCs w:val="24"/>
            <w:lang w:eastAsia="es-CO"/>
          </w:rPr>
          <w:t>carlos.rodriguez@crowehorwath.com.co</w:t>
        </w:r>
      </w:hyperlink>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Bogotá</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proofErr w:type="spellStart"/>
      <w:r w:rsidRPr="007F2CE3">
        <w:rPr>
          <w:rFonts w:eastAsia="Times New Roman"/>
          <w:b/>
          <w:bCs/>
          <w:szCs w:val="24"/>
          <w:lang w:eastAsia="es-CO"/>
        </w:rPr>
        <w:t>Ref</w:t>
      </w:r>
      <w:proofErr w:type="spellEnd"/>
      <w:r w:rsidRPr="007F2CE3">
        <w:rPr>
          <w:rFonts w:eastAsia="Times New Roman"/>
          <w:b/>
          <w:bCs/>
          <w:szCs w:val="24"/>
          <w:lang w:eastAsia="es-CO"/>
        </w:rPr>
        <w:t>: </w:t>
      </w:r>
      <w:r w:rsidRPr="007F2CE3">
        <w:rPr>
          <w:rFonts w:eastAsia="Times New Roman"/>
          <w:szCs w:val="24"/>
          <w:lang w:eastAsia="es-CO"/>
        </w:rPr>
        <w:t>Radicado 66200 del 05/11/2014</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b/>
          <w:bCs/>
          <w:szCs w:val="24"/>
          <w:lang w:eastAsia="es-CO"/>
        </w:rPr>
        <w:t>Tema </w:t>
      </w:r>
      <w:r w:rsidRPr="007F2CE3">
        <w:rPr>
          <w:rFonts w:eastAsia="Times New Roman"/>
          <w:szCs w:val="24"/>
          <w:lang w:eastAsia="es-CO"/>
        </w:rPr>
        <w:t>Impuesto sobre la Renta y Complementarios; Impuesto sobre la renta y complementarios</w:t>
      </w:r>
    </w:p>
    <w:p w:rsidR="00BB5D3F" w:rsidRPr="007F2CE3" w:rsidRDefault="00BB5D3F" w:rsidP="00BB5D3F">
      <w:pPr>
        <w:spacing w:line="240" w:lineRule="auto"/>
        <w:rPr>
          <w:rFonts w:eastAsia="Times New Roman"/>
          <w:szCs w:val="24"/>
          <w:lang w:eastAsia="es-CO"/>
        </w:rPr>
      </w:pPr>
      <w:r w:rsidRPr="007F2CE3">
        <w:rPr>
          <w:rFonts w:eastAsia="Times New Roman"/>
          <w:b/>
          <w:bCs/>
          <w:szCs w:val="24"/>
          <w:lang w:eastAsia="es-CO"/>
        </w:rPr>
        <w:t>Descriptores </w:t>
      </w:r>
      <w:r w:rsidRPr="007F2CE3">
        <w:rPr>
          <w:rFonts w:eastAsia="Times New Roman"/>
          <w:szCs w:val="24"/>
          <w:lang w:eastAsia="es-CO"/>
        </w:rPr>
        <w:t>Régimen Tributario Especial; Deducción de Impuestos Pagados</w:t>
      </w:r>
    </w:p>
    <w:p w:rsidR="00BB5D3F" w:rsidRPr="007F2CE3" w:rsidRDefault="00BB5D3F" w:rsidP="00BB5D3F">
      <w:pPr>
        <w:spacing w:line="240" w:lineRule="auto"/>
        <w:rPr>
          <w:rFonts w:eastAsia="Times New Roman"/>
          <w:szCs w:val="24"/>
          <w:lang w:eastAsia="es-CO"/>
        </w:rPr>
      </w:pPr>
      <w:r w:rsidRPr="007F2CE3">
        <w:rPr>
          <w:rFonts w:eastAsia="Times New Roman"/>
          <w:b/>
          <w:bCs/>
          <w:szCs w:val="24"/>
          <w:lang w:eastAsia="es-CO"/>
        </w:rPr>
        <w:t>Fuentes formales </w:t>
      </w:r>
      <w:r w:rsidRPr="007F2CE3">
        <w:rPr>
          <w:rFonts w:eastAsia="Times New Roman"/>
          <w:szCs w:val="24"/>
          <w:lang w:eastAsia="es-CO"/>
        </w:rPr>
        <w:t>Estatuto Tributario </w:t>
      </w:r>
      <w:hyperlink r:id="rId5" w:tooltip="Estatuto Tributario CETA" w:history="1">
        <w:r w:rsidRPr="007F2CE3">
          <w:rPr>
            <w:rFonts w:eastAsia="Times New Roman"/>
            <w:szCs w:val="24"/>
            <w:lang w:eastAsia="es-CO"/>
          </w:rPr>
          <w:t>artículo 115</w:t>
        </w:r>
      </w:hyperlink>
      <w:r w:rsidRPr="007F2CE3">
        <w:rPr>
          <w:rFonts w:eastAsia="Times New Roman"/>
          <w:szCs w:val="24"/>
          <w:lang w:eastAsia="es-CO"/>
        </w:rPr>
        <w:t>; Ley 153 de 1887 artículos 1 y 2; Ley 1111 de 2006 artículo 4º; Ley 1430 de 2010 artículo 45; Ley 1607 de 2012 artículo 186; Decreto 4400 de 2004 artículo 4º</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Atento saludo Dr. Rodríguez.</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De conformidad con el artículo 19 del Decreto 4048 de 2008 es función de esta Subdirección absolver las consultas escritas que se formulen sobre la interpretación y aplicación de las normas tributarias de carácter nacional, aduaneras y cambiarias en lo de competencia de la Entidad, así como normas de personal, presupuestal y de contratación administrativa que formulen las diferentes dependencias a su interior, ámbito dentro del cual será atendida su solicitud.</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A través del oficio de la referencia usted solicita reconsiderar la tesis expuesta en el punto 13.4 del oficio 052431 del 28 de agosto de 2014, sobre la posibilidad de deducir, en los términos del inciso segundo del </w:t>
      </w:r>
      <w:hyperlink r:id="rId6" w:tooltip="Estatuto Tributario CETA" w:history="1">
        <w:r w:rsidRPr="007F2CE3">
          <w:rPr>
            <w:rFonts w:eastAsia="Times New Roman"/>
            <w:szCs w:val="24"/>
            <w:lang w:eastAsia="es-CO"/>
          </w:rPr>
          <w:t>artículo 115</w:t>
        </w:r>
      </w:hyperlink>
      <w:r w:rsidRPr="007F2CE3">
        <w:rPr>
          <w:rFonts w:eastAsia="Times New Roman"/>
          <w:szCs w:val="24"/>
          <w:lang w:eastAsia="es-CO"/>
        </w:rPr>
        <w:t> del Estatuto Tributario, el 50% del Gravamen a los Movimientos Financieros pagado, para aquellas personas jurídicas originadas en la constitución de la propiedad horizontal que por destinar algún o algunos de sus bienes, o áreas comunes para la explotación comercial o industrial pierden la calidad de no contribuyentes de los impuestos nacionales y en consecuencia están sujetas al régimen tributario especial.</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Como argumento de su solicitud expone que el artículo 4º del Decreto 4400 de 2004, fundamento de la tesis expuesta en el punto 13.4 del oficio 052431, no se encuentra vigente en virtud de lo dispuesto en el </w:t>
      </w:r>
      <w:hyperlink r:id="rId7" w:tooltip="Estatuto Tributario CETA" w:history="1">
        <w:r w:rsidRPr="007F2CE3">
          <w:rPr>
            <w:rFonts w:eastAsia="Times New Roman"/>
            <w:szCs w:val="24"/>
            <w:lang w:eastAsia="es-CO"/>
          </w:rPr>
          <w:t>artículo 115</w:t>
        </w:r>
      </w:hyperlink>
      <w:r w:rsidRPr="007F2CE3">
        <w:rPr>
          <w:rFonts w:eastAsia="Times New Roman"/>
          <w:szCs w:val="24"/>
          <w:lang w:eastAsia="es-CO"/>
        </w:rPr>
        <w:t> del Estatuto Tributario, modificado por el artículo 4º de la Ley 1111 de 2006 y el artículo 45 de la Ley 1430 de 2010.</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lastRenderedPageBreak/>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Lo anterior debido a que estas normas, que permiten la deducción del 50% en el impuesto sobre la renta del Gravamen a los Movimientos Financieros efectivamente pagado por los contribuyentes en el año gravable, son posteriores a lo contenido en el artículo 4º del Decreto 4400 de 2004, razón por la cual lo dispuesto en esta norma no se encuentra vigente.</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Sobre el particular se considera:</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Consagra el artículo 186 de la Ley 1607 de 2012, la pérdida de la calidad de no contribuyentes de impuestos nacionales, para aquellas personas jurídicas originadas en la constitución de la propiedad horizontal, diferentes a las de uso residencial, que destinan algún o algunos de sus bienes, o áreas comunes para la explotación comercial o industrial:</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Artículo 186. Las personas jurídicas originadas en la constitución de la propiedad horizontal que destinan algún o algunos de sus bienes, o áreas comunes para la explotación comercial o industrial, generando algún tipo de renta, </w:t>
      </w:r>
      <w:r w:rsidRPr="007F2CE3">
        <w:rPr>
          <w:rFonts w:eastAsia="Times New Roman"/>
          <w:b/>
          <w:bCs/>
          <w:szCs w:val="24"/>
          <w:lang w:eastAsia="es-CO"/>
        </w:rPr>
        <w:t xml:space="preserve">perderán la calidad de no contribuyentes </w:t>
      </w:r>
      <w:proofErr w:type="gramStart"/>
      <w:r w:rsidRPr="007F2CE3">
        <w:rPr>
          <w:rFonts w:eastAsia="Times New Roman"/>
          <w:b/>
          <w:bCs/>
          <w:szCs w:val="24"/>
          <w:lang w:eastAsia="es-CO"/>
        </w:rPr>
        <w:t>de los impuestos nacionales otorgada</w:t>
      </w:r>
      <w:proofErr w:type="gramEnd"/>
      <w:r w:rsidRPr="007F2CE3">
        <w:rPr>
          <w:rFonts w:eastAsia="Times New Roman"/>
          <w:b/>
          <w:bCs/>
          <w:szCs w:val="24"/>
          <w:lang w:eastAsia="es-CO"/>
        </w:rPr>
        <w:t xml:space="preserve"> mediante el artículo 33 de la Ley 675 de 2001.</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Parágrafo 1º. En el evento de pérdida de la calidad de no contribuyente según lo dispuesto en el inciso primero del presente artículo, las personas jurídicas originadas en la constitución de la propiedad horizontal </w:t>
      </w:r>
      <w:r w:rsidRPr="007F2CE3">
        <w:rPr>
          <w:rFonts w:eastAsia="Times New Roman"/>
          <w:b/>
          <w:bCs/>
          <w:szCs w:val="24"/>
          <w:lang w:eastAsia="es-CO"/>
        </w:rPr>
        <w:t>estarán sujetas </w:t>
      </w:r>
      <w:r w:rsidRPr="007F2CE3">
        <w:rPr>
          <w:rFonts w:eastAsia="Times New Roman"/>
          <w:szCs w:val="24"/>
          <w:lang w:eastAsia="es-CO"/>
        </w:rPr>
        <w:t>al </w:t>
      </w:r>
      <w:r w:rsidRPr="007F2CE3">
        <w:rPr>
          <w:rFonts w:eastAsia="Times New Roman"/>
          <w:b/>
          <w:bCs/>
          <w:szCs w:val="24"/>
          <w:lang w:eastAsia="es-CO"/>
        </w:rPr>
        <w:t>régimen tributario especial de que trata el </w:t>
      </w:r>
      <w:hyperlink r:id="rId8" w:tooltip="Estatuto Tributario CETA" w:history="1">
        <w:r w:rsidRPr="007F2CE3">
          <w:rPr>
            <w:rFonts w:eastAsia="Times New Roman"/>
            <w:b/>
            <w:bCs/>
            <w:szCs w:val="24"/>
            <w:lang w:eastAsia="es-CO"/>
          </w:rPr>
          <w:t>artículo 19</w:t>
        </w:r>
      </w:hyperlink>
      <w:r w:rsidRPr="007F2CE3">
        <w:rPr>
          <w:rFonts w:eastAsia="Times New Roman"/>
          <w:b/>
          <w:bCs/>
          <w:szCs w:val="24"/>
          <w:lang w:eastAsia="es-CO"/>
        </w:rPr>
        <w:t> del Estatuto Tributario.</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Parágrafo 2º. Se excluirán de lo dispuesto en este artículo, las propiedades horizontales de uso residencial.</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En consecuencia, estas personas al estar sujetas al régimen tributario especial de que trata el </w:t>
      </w:r>
      <w:hyperlink r:id="rId9" w:tooltip="Estatuto Tributario CETA" w:history="1">
        <w:r w:rsidRPr="007F2CE3">
          <w:rPr>
            <w:rFonts w:eastAsia="Times New Roman"/>
            <w:szCs w:val="24"/>
            <w:lang w:eastAsia="es-CO"/>
          </w:rPr>
          <w:t>artículo 19</w:t>
        </w:r>
      </w:hyperlink>
      <w:r w:rsidRPr="007F2CE3">
        <w:rPr>
          <w:rFonts w:eastAsia="Times New Roman"/>
          <w:szCs w:val="24"/>
          <w:lang w:eastAsia="es-CO"/>
        </w:rPr>
        <w:t> del Estatuto Tributario, por aquellos ingresos provenientes de la explotación comercial o industrial de sus bienes, o áreas comunes, para lo cual se hace necesario observar lo dispuesto en el Título VI del Libro Primero del Estatuto Tributario y el Decreto 4400 de 2004, modificado por el Decreto 640 de 2005.</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En ese sentido establecen los artículos </w:t>
      </w:r>
      <w:hyperlink r:id="rId10" w:tooltip="Estatuto Tributario CETA" w:history="1">
        <w:r w:rsidRPr="007F2CE3">
          <w:rPr>
            <w:rFonts w:eastAsia="Times New Roman"/>
            <w:szCs w:val="24"/>
            <w:lang w:eastAsia="es-CO"/>
          </w:rPr>
          <w:t>356</w:t>
        </w:r>
      </w:hyperlink>
      <w:r w:rsidRPr="007F2CE3">
        <w:rPr>
          <w:rFonts w:eastAsia="Times New Roman"/>
          <w:szCs w:val="24"/>
          <w:lang w:eastAsia="es-CO"/>
        </w:rPr>
        <w:t> y </w:t>
      </w:r>
      <w:hyperlink r:id="rId11" w:tooltip="Estatuto Tributario CETA" w:history="1">
        <w:r w:rsidRPr="007F2CE3">
          <w:rPr>
            <w:rFonts w:eastAsia="Times New Roman"/>
            <w:szCs w:val="24"/>
            <w:lang w:eastAsia="es-CO"/>
          </w:rPr>
          <w:t>357</w:t>
        </w:r>
      </w:hyperlink>
      <w:r w:rsidRPr="007F2CE3">
        <w:rPr>
          <w:rFonts w:eastAsia="Times New Roman"/>
          <w:szCs w:val="24"/>
          <w:lang w:eastAsia="es-CO"/>
        </w:rPr>
        <w:t> del Estatuto Tributario que los contribuyentes a que se refiere el </w:t>
      </w:r>
      <w:hyperlink r:id="rId12" w:tooltip="Estatuto Tributario CETA" w:history="1">
        <w:r w:rsidRPr="007F2CE3">
          <w:rPr>
            <w:rFonts w:eastAsia="Times New Roman"/>
            <w:szCs w:val="24"/>
            <w:lang w:eastAsia="es-CO"/>
          </w:rPr>
          <w:t>artículo 19</w:t>
        </w:r>
      </w:hyperlink>
      <w:r w:rsidRPr="007F2CE3">
        <w:rPr>
          <w:rFonts w:eastAsia="Times New Roman"/>
          <w:szCs w:val="24"/>
          <w:lang w:eastAsia="es-CO"/>
        </w:rPr>
        <w:t>, están sometidos al impuesto de renta y complementarios sobre el beneficio neto o excedente a la tarifa única del veinte por ciento (20%), para lo cual al momento de determinar este beneficio tomarán los ingresos y se restará el valor de los egresos, que tengan relación de causalidad.</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Sobre esta regla se precisa, para el caso de las personas jurídicas originadas en la constitución de la propiedad horizontal, que estos factores deben estar relacionados con los ingresos provenientes de la explotación comercial o industrial de sus bienes, o áreas comunes.</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Respecto a los egresos, de manera especial el artículo 4º del Decreto 4400 de 2004 consagra las siguientes previsiones:</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lastRenderedPageBreak/>
        <w:t>Artículo 4º. Egresos. &lt;Artículo modificado por el artículo 3 del Decreto 640 de 2005. El nuevo texto es el siguiente:&gt; </w:t>
      </w:r>
      <w:r w:rsidRPr="007F2CE3">
        <w:rPr>
          <w:rFonts w:eastAsia="Times New Roman"/>
          <w:b/>
          <w:bCs/>
          <w:szCs w:val="24"/>
          <w:lang w:eastAsia="es-CO"/>
        </w:rPr>
        <w:t>Se consideran egresos procedentes aquellos realizados en el respectivo período gravable, </w:t>
      </w:r>
      <w:r w:rsidRPr="007F2CE3">
        <w:rPr>
          <w:rFonts w:eastAsia="Times New Roman"/>
          <w:szCs w:val="24"/>
          <w:lang w:eastAsia="es-CO"/>
        </w:rPr>
        <w:t xml:space="preserve">que tengan relación de </w:t>
      </w:r>
      <w:proofErr w:type="gramStart"/>
      <w:r w:rsidRPr="007F2CE3">
        <w:rPr>
          <w:rFonts w:eastAsia="Times New Roman"/>
          <w:szCs w:val="24"/>
          <w:lang w:eastAsia="es-CO"/>
        </w:rPr>
        <w:t>causalidad con los ingresos o con el objeto social, incluidas</w:t>
      </w:r>
      <w:proofErr w:type="gramEnd"/>
      <w:r w:rsidRPr="007F2CE3">
        <w:rPr>
          <w:rFonts w:eastAsia="Times New Roman"/>
          <w:szCs w:val="24"/>
          <w:lang w:eastAsia="es-CO"/>
        </w:rPr>
        <w:t xml:space="preserve"> las inversiones que se efectúen en cumplimiento del mismo y la adquisición de activos fijos. En consecuencia, no habrá lugar a la depreciación ni amortización respecto de la adquisición de activos fijos e inversiones que hayan sido solicitadas como egreso en el año de adquisición.</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Parágrafo 1º. Para la procedencia de los egresos realizados en el respectivo período gravable que tengan relación de causalidad con los ingresos o con el objeto social, </w:t>
      </w:r>
      <w:r w:rsidRPr="007F2CE3">
        <w:rPr>
          <w:rFonts w:eastAsia="Times New Roman"/>
          <w:b/>
          <w:bCs/>
          <w:szCs w:val="24"/>
          <w:lang w:eastAsia="es-CO"/>
        </w:rPr>
        <w:t>deberán tenerse en cuenta las limitaciones establecidas en el Capítulo V del Libro Primero del Estatuto Tributario. </w:t>
      </w:r>
      <w:r w:rsidRPr="007F2CE3">
        <w:rPr>
          <w:rFonts w:eastAsia="Times New Roman"/>
          <w:szCs w:val="24"/>
          <w:lang w:eastAsia="es-CO"/>
        </w:rPr>
        <w:t>Lo anterior sin perjuicio del cumplimiento de los requisitos especiales consagrados en el Estatuto Tributario, para la procedencia de costos y deducciones, tales como los señalados en los artículos </w:t>
      </w:r>
      <w:hyperlink r:id="rId13" w:tooltip="Estatuto Tributario CETA" w:history="1">
        <w:r w:rsidRPr="007F2CE3">
          <w:rPr>
            <w:rFonts w:eastAsia="Times New Roman"/>
            <w:szCs w:val="24"/>
            <w:lang w:eastAsia="es-CO"/>
          </w:rPr>
          <w:t>87-1</w:t>
        </w:r>
      </w:hyperlink>
      <w:r w:rsidRPr="007F2CE3">
        <w:rPr>
          <w:rFonts w:eastAsia="Times New Roman"/>
          <w:szCs w:val="24"/>
          <w:lang w:eastAsia="es-CO"/>
        </w:rPr>
        <w:t>, </w:t>
      </w:r>
      <w:hyperlink r:id="rId14" w:tooltip="Estatuto Tributario CETA" w:history="1">
        <w:r w:rsidRPr="007F2CE3">
          <w:rPr>
            <w:rFonts w:eastAsia="Times New Roman"/>
            <w:szCs w:val="24"/>
            <w:lang w:eastAsia="es-CO"/>
          </w:rPr>
          <w:t>108</w:t>
        </w:r>
      </w:hyperlink>
      <w:r w:rsidRPr="007F2CE3">
        <w:rPr>
          <w:rFonts w:eastAsia="Times New Roman"/>
          <w:szCs w:val="24"/>
          <w:lang w:eastAsia="es-CO"/>
        </w:rPr>
        <w:t>, </w:t>
      </w:r>
      <w:hyperlink r:id="rId15" w:tooltip="Estatuto Tributario CETA" w:history="1">
        <w:r w:rsidRPr="007F2CE3">
          <w:rPr>
            <w:rFonts w:eastAsia="Times New Roman"/>
            <w:szCs w:val="24"/>
            <w:lang w:eastAsia="es-CO"/>
          </w:rPr>
          <w:t>177-1</w:t>
        </w:r>
      </w:hyperlink>
      <w:r w:rsidRPr="007F2CE3">
        <w:rPr>
          <w:rFonts w:eastAsia="Times New Roman"/>
          <w:szCs w:val="24"/>
          <w:lang w:eastAsia="es-CO"/>
        </w:rPr>
        <w:t>, </w:t>
      </w:r>
      <w:hyperlink r:id="rId16" w:tooltip="Estatuto Tributario CETA" w:history="1">
        <w:r w:rsidRPr="007F2CE3">
          <w:rPr>
            <w:rFonts w:eastAsia="Times New Roman"/>
            <w:szCs w:val="24"/>
            <w:lang w:eastAsia="es-CO"/>
          </w:rPr>
          <w:t>177-2</w:t>
        </w:r>
      </w:hyperlink>
      <w:r w:rsidRPr="007F2CE3">
        <w:rPr>
          <w:rFonts w:eastAsia="Times New Roman"/>
          <w:szCs w:val="24"/>
          <w:lang w:eastAsia="es-CO"/>
        </w:rPr>
        <w:t>, </w:t>
      </w:r>
      <w:hyperlink r:id="rId17" w:tooltip="Estatuto Tributario CETA" w:history="1">
        <w:r w:rsidRPr="007F2CE3">
          <w:rPr>
            <w:rFonts w:eastAsia="Times New Roman"/>
            <w:szCs w:val="24"/>
            <w:lang w:eastAsia="es-CO"/>
          </w:rPr>
          <w:t>771-2</w:t>
        </w:r>
      </w:hyperlink>
      <w:r w:rsidRPr="007F2CE3">
        <w:rPr>
          <w:rFonts w:eastAsia="Times New Roman"/>
          <w:szCs w:val="24"/>
          <w:lang w:eastAsia="es-CO"/>
        </w:rPr>
        <w:t> y </w:t>
      </w:r>
      <w:hyperlink r:id="rId18" w:tooltip="Estatuto Tributario CETA" w:history="1">
        <w:r w:rsidRPr="007F2CE3">
          <w:rPr>
            <w:rFonts w:eastAsia="Times New Roman"/>
            <w:szCs w:val="24"/>
            <w:lang w:eastAsia="es-CO"/>
          </w:rPr>
          <w:t>771-3</w:t>
        </w:r>
      </w:hyperlink>
      <w:r w:rsidRPr="007F2CE3">
        <w:rPr>
          <w:rFonts w:eastAsia="Times New Roman"/>
          <w:szCs w:val="24"/>
          <w:lang w:eastAsia="es-CO"/>
        </w:rPr>
        <w:t>.</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b/>
          <w:bCs/>
          <w:szCs w:val="24"/>
          <w:lang w:eastAsia="es-CO"/>
        </w:rPr>
        <w:t>En ningún caso se podrá tratar como egreso procedente al Gravamen a los Movimientos Financieros, GMF. Asimismo, el valor correspondiente a la ejecución de beneficios netos o excedentes de años anteriores, no constituye egreso o inversión del ejercicio.</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(Negrilla fuera del texto)</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Sin embargo, el inciso segundo del </w:t>
      </w:r>
      <w:hyperlink r:id="rId19" w:tooltip="Estatuto Tributario CETA" w:history="1">
        <w:r w:rsidRPr="007F2CE3">
          <w:rPr>
            <w:rFonts w:eastAsia="Times New Roman"/>
            <w:szCs w:val="24"/>
            <w:lang w:eastAsia="es-CO"/>
          </w:rPr>
          <w:t>artículo 115</w:t>
        </w:r>
      </w:hyperlink>
      <w:r w:rsidRPr="007F2CE3">
        <w:rPr>
          <w:rFonts w:eastAsia="Times New Roman"/>
          <w:szCs w:val="24"/>
          <w:lang w:eastAsia="es-CO"/>
        </w:rPr>
        <w:t> del Estatuto Tributario consagra la posibilidad de deducir este impuesto, en los siguientes términos:</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&lt;Inciso modificado por el artículo 45 de la Ley 1430 de 2010&gt; A partir del año gravable 2013 será deducible el cincuenta por ciento (50%) del gravamen a los movimientos financieros efectivamente pagado por los contribuyentes durante el respectivo año gravable, </w:t>
      </w:r>
      <w:r w:rsidRPr="007F2CE3">
        <w:rPr>
          <w:rFonts w:eastAsia="Times New Roman"/>
          <w:b/>
          <w:bCs/>
          <w:szCs w:val="24"/>
          <w:lang w:eastAsia="es-CO"/>
        </w:rPr>
        <w:t>independientemente que tenga o no relación de causalidad con la actividad económica del contribuyente, siempre que se encuentre debidamente certificado por el agente retenedor.</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Este inciso fue agregado por el artículo 4º de la Ley 1111 de 2006, con ocasión de la modificación hecha al </w:t>
      </w:r>
      <w:hyperlink r:id="rId20" w:tooltip="Estatuto Tributario CETA" w:history="1">
        <w:r w:rsidRPr="007F2CE3">
          <w:rPr>
            <w:rFonts w:eastAsia="Times New Roman"/>
            <w:szCs w:val="24"/>
            <w:lang w:eastAsia="es-CO"/>
          </w:rPr>
          <w:t>artículo 115</w:t>
        </w:r>
      </w:hyperlink>
      <w:r w:rsidRPr="007F2CE3">
        <w:rPr>
          <w:rFonts w:eastAsia="Times New Roman"/>
          <w:szCs w:val="24"/>
          <w:lang w:eastAsia="es-CO"/>
        </w:rPr>
        <w:t> del Estatuto Tributario, de cuyos antecedentes (Gaceta del Congreso 527 del 9 de noviembre de 2006) se encuentra que:</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Artículo 5º. Se modifica el </w:t>
      </w:r>
      <w:hyperlink r:id="rId21" w:tooltip="Estatuto Tributario CETA" w:history="1">
        <w:r w:rsidRPr="007F2CE3">
          <w:rPr>
            <w:rFonts w:eastAsia="Times New Roman"/>
            <w:szCs w:val="24"/>
            <w:lang w:eastAsia="es-CO"/>
          </w:rPr>
          <w:t>artículo 115</w:t>
        </w:r>
      </w:hyperlink>
      <w:r w:rsidRPr="007F2CE3">
        <w:rPr>
          <w:rFonts w:eastAsia="Times New Roman"/>
          <w:szCs w:val="24"/>
          <w:lang w:eastAsia="es-CO"/>
        </w:rPr>
        <w:t> del Estatuto Tributario para permitir la deducción del 100% de los impuestos de industria y comercio, avisos y tableros y predial, siempre que hayan sido pagados efectivamente en el año gravable y tengan relación de causalidad con la actividad económica. </w:t>
      </w:r>
      <w:r w:rsidRPr="007F2CE3">
        <w:rPr>
          <w:rFonts w:eastAsia="Times New Roman"/>
          <w:b/>
          <w:bCs/>
          <w:szCs w:val="24"/>
          <w:lang w:eastAsia="es-CO"/>
        </w:rPr>
        <w:t>Se permite también la deducción del 25% del Gravamen a los Movimientos Financieros para todos los contribuyentes declarantes del impuesto de renta que hayan sido sujetos de retención del impuesto, sin condicionar su procedencia a la relación de causalidad con la actividad productora de renta.</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(Se resalta)</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lastRenderedPageBreak/>
        <w:t>Este despacho considera que hay dos normas, una reglamentaria y la otra de rango legal, que contienen disposiciones contrarias a la hora de tratar la deducción del Gravamen a los Movimientos Financieros, cuya interpretación requiere observar las reglas consagradas en los artículos 1 y 2 de la Ley 153 de 1887:</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Reglas generales sobre validez y aplicación de las leyes</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Artículo 1. Siempre que se advierta incongruencia en las leyes, u ocurrencia oposición entre ley anterior y ley posterior, o trate de establecerse el tránsito legal de derecho antiguo a derecho nuevo, las autoridades de la república, y especialmente las judiciales, observarán las reglas contenidas en los artículos siguientes.</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Artículo 2. La Ley posterior prevalece sobre la ley anterior. </w:t>
      </w:r>
      <w:r w:rsidRPr="007F2CE3">
        <w:rPr>
          <w:rFonts w:eastAsia="Times New Roman"/>
          <w:b/>
          <w:bCs/>
          <w:szCs w:val="24"/>
          <w:lang w:eastAsia="es-CO"/>
        </w:rPr>
        <w:t>En caso de que una ley posterior sea contraria a otra anterior, y ambas preexistentes al hecho que se juzga, se aplicará la ley posterior.</w:t>
      </w:r>
    </w:p>
    <w:p w:rsidR="00BB5D3F" w:rsidRPr="007F2CE3" w:rsidRDefault="00BB5D3F" w:rsidP="00BB5D3F">
      <w:pPr>
        <w:spacing w:line="240" w:lineRule="auto"/>
        <w:ind w:left="284"/>
        <w:rPr>
          <w:rFonts w:eastAsia="Times New Roman"/>
          <w:szCs w:val="24"/>
          <w:lang w:eastAsia="es-CO"/>
        </w:rPr>
      </w:pPr>
      <w:r w:rsidRPr="007F2CE3">
        <w:rPr>
          <w:rFonts w:eastAsia="Times New Roman"/>
          <w:szCs w:val="24"/>
          <w:lang w:eastAsia="es-CO"/>
        </w:rPr>
        <w:t>(…)</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De acuerdo con lo anteriormente citado la norma posterior se prefiere, no solo por rango legal al decreto reglamentario, sino también por ser norma posterior, como se evidencia en este caso.</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Así las cosas, es posible tratar como egreso el Gravamen a los Movimientos Financieros, GMF, pagado en el respectivo año gravable por aquellas personas jurídicas originadas en la constitución de la propiedad horizontal que pierdan la calidad de no contribuyentes de los impuestos, por destinar algún o algunos de sus bienes o áreas comunes para la explotación comercial o industrial.</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Lo anterior, en virtud de lo consagrado en el artículo 186 de la Ley 1607 de 2012 que en este caso las sujeta al régimen tributario especial de que trata el </w:t>
      </w:r>
      <w:hyperlink r:id="rId22" w:tooltip="Estatuto Tributario CETA" w:history="1">
        <w:r w:rsidRPr="007F2CE3">
          <w:rPr>
            <w:rFonts w:eastAsia="Times New Roman"/>
            <w:szCs w:val="24"/>
            <w:lang w:eastAsia="es-CO"/>
          </w:rPr>
          <w:t>artículo 19</w:t>
        </w:r>
      </w:hyperlink>
      <w:r w:rsidRPr="007F2CE3">
        <w:rPr>
          <w:rFonts w:eastAsia="Times New Roman"/>
          <w:szCs w:val="24"/>
          <w:lang w:eastAsia="es-CO"/>
        </w:rPr>
        <w:t> del Estatuto Tributario y demás normas concordantes y complementarias, por aquellos ingresos provenientes de la explotación comercial o industrial de sus bienes, o áreas comunes.</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b/>
          <w:szCs w:val="24"/>
          <w:lang w:eastAsia="es-CO"/>
        </w:rPr>
      </w:pPr>
      <w:r w:rsidRPr="007F2CE3">
        <w:rPr>
          <w:rFonts w:eastAsia="Times New Roman"/>
          <w:b/>
          <w:szCs w:val="24"/>
          <w:lang w:eastAsia="es-CO"/>
        </w:rPr>
        <w:t>En virtud de lo dispuesto se revoca la tesis jurídica expuesta en el punto 13.4 del oficio 052431 del 28 de agosto de 2014, en cuanto a la imposibilidad de deducir el GMF en el caso de las personas jurídicas originadas en la Propiedad Horizontal.</w:t>
      </w:r>
    </w:p>
    <w:p w:rsidR="00BB5D3F" w:rsidRPr="007F2CE3" w:rsidRDefault="00BB5D3F" w:rsidP="00BB5D3F">
      <w:pPr>
        <w:spacing w:line="240" w:lineRule="auto"/>
        <w:rPr>
          <w:rFonts w:eastAsia="Times New Roman"/>
          <w:b/>
          <w:szCs w:val="24"/>
          <w:lang w:eastAsia="es-CO"/>
        </w:rPr>
      </w:pPr>
      <w:r w:rsidRPr="007F2CE3">
        <w:rPr>
          <w:rFonts w:eastAsia="Times New Roman"/>
          <w:b/>
          <w:szCs w:val="24"/>
          <w:lang w:eastAsia="es-CO"/>
        </w:rPr>
        <w:t> </w:t>
      </w:r>
    </w:p>
    <w:p w:rsidR="00BB5D3F" w:rsidRPr="007F2CE3" w:rsidRDefault="00BB5D3F" w:rsidP="00BB5D3F">
      <w:pPr>
        <w:spacing w:line="240" w:lineRule="auto"/>
        <w:rPr>
          <w:rFonts w:eastAsia="Times New Roman"/>
          <w:b/>
          <w:szCs w:val="24"/>
          <w:lang w:eastAsia="es-CO"/>
        </w:rPr>
      </w:pPr>
      <w:r w:rsidRPr="007F2CE3">
        <w:rPr>
          <w:rFonts w:eastAsia="Times New Roman"/>
          <w:b/>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Atentamente,</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 </w:t>
      </w:r>
    </w:p>
    <w:p w:rsidR="00BB5D3F" w:rsidRPr="007F2CE3" w:rsidRDefault="00BB5D3F" w:rsidP="00BB5D3F">
      <w:pPr>
        <w:spacing w:line="240" w:lineRule="auto"/>
        <w:rPr>
          <w:rFonts w:eastAsia="Times New Roman"/>
          <w:szCs w:val="24"/>
          <w:lang w:eastAsia="es-CO"/>
        </w:rPr>
      </w:pPr>
      <w:r w:rsidRPr="007F2CE3">
        <w:rPr>
          <w:rFonts w:eastAsia="Times New Roman"/>
          <w:b/>
          <w:bCs/>
          <w:szCs w:val="24"/>
          <w:lang w:eastAsia="es-CO"/>
        </w:rPr>
        <w:t>DALILA ASTRID HERNÁNDEZ CORZO</w:t>
      </w:r>
    </w:p>
    <w:p w:rsidR="00BB5D3F" w:rsidRPr="007F2CE3" w:rsidRDefault="00BB5D3F" w:rsidP="00BB5D3F">
      <w:pPr>
        <w:spacing w:line="240" w:lineRule="auto"/>
        <w:rPr>
          <w:rFonts w:eastAsia="Times New Roman"/>
          <w:szCs w:val="24"/>
          <w:lang w:eastAsia="es-CO"/>
        </w:rPr>
      </w:pPr>
      <w:r w:rsidRPr="007F2CE3">
        <w:rPr>
          <w:rFonts w:eastAsia="Times New Roman"/>
          <w:szCs w:val="24"/>
          <w:lang w:eastAsia="es-CO"/>
        </w:rPr>
        <w:t>Directora de Gestión Jurídica</w:t>
      </w:r>
      <w:bookmarkStart w:id="0" w:name="_GoBack"/>
      <w:bookmarkEnd w:id="0"/>
    </w:p>
    <w:p w:rsidR="00BB5D3F" w:rsidRPr="007F2CE3" w:rsidRDefault="00BB5D3F" w:rsidP="00BB5D3F">
      <w:pPr>
        <w:spacing w:after="285" w:line="240" w:lineRule="auto"/>
        <w:rPr>
          <w:rFonts w:eastAsia="Times New Roman"/>
          <w:szCs w:val="24"/>
          <w:lang w:eastAsia="es-CO"/>
        </w:rPr>
      </w:pPr>
      <w:r w:rsidRPr="007F2CE3">
        <w:rPr>
          <w:rFonts w:eastAsia="Times New Roman"/>
          <w:szCs w:val="24"/>
          <w:lang w:eastAsia="es-CO"/>
        </w:rPr>
        <w:t> </w:t>
      </w:r>
    </w:p>
    <w:p w:rsidR="00B51D80" w:rsidRPr="007F2CE3" w:rsidRDefault="00B51D80">
      <w:pPr>
        <w:rPr>
          <w:szCs w:val="24"/>
        </w:rPr>
      </w:pPr>
    </w:p>
    <w:sectPr w:rsidR="00B51D80" w:rsidRPr="007F2CE3" w:rsidSect="007F2CE3">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3F"/>
    <w:rsid w:val="007F2CE3"/>
    <w:rsid w:val="009A23B8"/>
    <w:rsid w:val="00A067C7"/>
    <w:rsid w:val="00B51D80"/>
    <w:rsid w:val="00BB5D3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CB980-1CB4-4FE6-B86E-D84A0E350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47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44" TargetMode="External"/><Relationship Id="rId13" Type="http://schemas.openxmlformats.org/officeDocument/2006/relationships/hyperlink" Target="http://www.ceta.org.co/html/vista_de_un_articulo.asp?Norma=10874" TargetMode="External"/><Relationship Id="rId18" Type="http://schemas.openxmlformats.org/officeDocument/2006/relationships/hyperlink" Target="http://www.ceta.org.co/html/vista_de_un_articulo.asp?Norma=958" TargetMode="External"/><Relationship Id="rId3" Type="http://schemas.openxmlformats.org/officeDocument/2006/relationships/webSettings" Target="webSettings.xml"/><Relationship Id="rId21" Type="http://schemas.openxmlformats.org/officeDocument/2006/relationships/hyperlink" Target="http://www.ceta.org.co/html/vista_de_un_articulo.asp?Norma=165" TargetMode="External"/><Relationship Id="rId7" Type="http://schemas.openxmlformats.org/officeDocument/2006/relationships/hyperlink" Target="http://www.ceta.org.co/html/vista_de_un_articulo.asp?Norma=165" TargetMode="External"/><Relationship Id="rId12" Type="http://schemas.openxmlformats.org/officeDocument/2006/relationships/hyperlink" Target="http://www.ceta.org.co/html/vista_de_un_articulo.asp?Norma=44" TargetMode="External"/><Relationship Id="rId17" Type="http://schemas.openxmlformats.org/officeDocument/2006/relationships/hyperlink" Target="http://www.ceta.org.co/html/vista_de_un_articulo.asp?Norma=957" TargetMode="External"/><Relationship Id="rId2" Type="http://schemas.openxmlformats.org/officeDocument/2006/relationships/settings" Target="settings.xml"/><Relationship Id="rId16" Type="http://schemas.openxmlformats.org/officeDocument/2006/relationships/hyperlink" Target="http://www.ceta.org.co/html/vista_de_un_articulo.asp?Norma=12013" TargetMode="External"/><Relationship Id="rId20" Type="http://schemas.openxmlformats.org/officeDocument/2006/relationships/hyperlink" Target="http://www.ceta.org.co/html/vista_de_un_articulo.asp?Norma=165" TargetMode="External"/><Relationship Id="rId1" Type="http://schemas.openxmlformats.org/officeDocument/2006/relationships/styles" Target="styles.xml"/><Relationship Id="rId6" Type="http://schemas.openxmlformats.org/officeDocument/2006/relationships/hyperlink" Target="http://www.ceta.org.co/html/vista_de_un_articulo.asp?Norma=165" TargetMode="External"/><Relationship Id="rId11" Type="http://schemas.openxmlformats.org/officeDocument/2006/relationships/hyperlink" Target="http://www.ceta.org.co/html/vista_de_un_articulo.asp?Norma=437" TargetMode="External"/><Relationship Id="rId24" Type="http://schemas.openxmlformats.org/officeDocument/2006/relationships/theme" Target="theme/theme1.xml"/><Relationship Id="rId5" Type="http://schemas.openxmlformats.org/officeDocument/2006/relationships/hyperlink" Target="http://www.ceta.org.co/html/vista_de_un_articulo.asp?Norma=165" TargetMode="External"/><Relationship Id="rId15" Type="http://schemas.openxmlformats.org/officeDocument/2006/relationships/hyperlink" Target="http://www.ceta.org.co/html/vista_de_un_articulo.asp?Norma=10875" TargetMode="External"/><Relationship Id="rId23" Type="http://schemas.openxmlformats.org/officeDocument/2006/relationships/fontTable" Target="fontTable.xml"/><Relationship Id="rId10" Type="http://schemas.openxmlformats.org/officeDocument/2006/relationships/hyperlink" Target="http://www.ceta.org.co/html/vista_de_un_articulo.asp?Norma=436" TargetMode="External"/><Relationship Id="rId19" Type="http://schemas.openxmlformats.org/officeDocument/2006/relationships/hyperlink" Target="http://www.ceta.org.co/html/vista_de_un_articulo.asp?Norma=165" TargetMode="External"/><Relationship Id="rId4" Type="http://schemas.openxmlformats.org/officeDocument/2006/relationships/hyperlink" Target="mailto:carlos.rodriguez@crowehorwath.com.co" TargetMode="External"/><Relationship Id="rId9" Type="http://schemas.openxmlformats.org/officeDocument/2006/relationships/hyperlink" Target="http://www.ceta.org.co/html/vista_de_un_articulo.asp?Norma=44" TargetMode="External"/><Relationship Id="rId14" Type="http://schemas.openxmlformats.org/officeDocument/2006/relationships/hyperlink" Target="http://www.ceta.org.co/html/vista_de_un_articulo.asp?Norma=156" TargetMode="External"/><Relationship Id="rId22" Type="http://schemas.openxmlformats.org/officeDocument/2006/relationships/hyperlink" Target="http://www.ceta.org.co/html/vista_de_un_articulo.asp?Norma=4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1835</Words>
  <Characters>10093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CNETCO</cp:lastModifiedBy>
  <cp:revision>3</cp:revision>
  <dcterms:created xsi:type="dcterms:W3CDTF">2015-02-05T14:26:00Z</dcterms:created>
  <dcterms:modified xsi:type="dcterms:W3CDTF">2015-02-15T21:49:00Z</dcterms:modified>
</cp:coreProperties>
</file>